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0C000EC9" w:rsidR="006E7D44" w:rsidRPr="00AA5E0C" w:rsidRDefault="002B4CD7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Prosedure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 w:rsidR="00FA204C">
        <w:rPr>
          <w:b/>
          <w:sz w:val="44"/>
          <w:lang w:val="en-ID"/>
        </w:rPr>
        <w:t>Operasional</w:t>
      </w:r>
      <w:proofErr w:type="spellEnd"/>
      <w:r w:rsidR="00FA204C">
        <w:rPr>
          <w:b/>
          <w:sz w:val="44"/>
          <w:lang w:val="en-ID"/>
        </w:rPr>
        <w:t xml:space="preserve"> </w:t>
      </w:r>
      <w:proofErr w:type="spellStart"/>
      <w:r w:rsidR="00FA204C">
        <w:rPr>
          <w:b/>
          <w:sz w:val="44"/>
          <w:lang w:val="en-ID"/>
        </w:rPr>
        <w:t>Kontrol</w:t>
      </w:r>
      <w:proofErr w:type="spellEnd"/>
      <w:r>
        <w:rPr>
          <w:b/>
          <w:sz w:val="44"/>
          <w:lang w:val="en-ID"/>
        </w:rPr>
        <w:t xml:space="preserve"> EHS</w:t>
      </w:r>
      <w:r w:rsidR="002043B4">
        <w:rPr>
          <w:b/>
          <w:sz w:val="44"/>
          <w:lang w:val="en-ID"/>
        </w:rPr>
        <w:t xml:space="preserve"> </w:t>
      </w:r>
    </w:p>
    <w:p w14:paraId="6F01A010" w14:textId="408DFB87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PR-EHS-</w:t>
      </w:r>
      <w:r w:rsidR="002B4CD7">
        <w:rPr>
          <w:sz w:val="44"/>
          <w:lang w:val="en-ID"/>
        </w:rPr>
        <w:t>1</w:t>
      </w:r>
      <w:r w:rsidR="00FA204C">
        <w:rPr>
          <w:sz w:val="44"/>
          <w:lang w:val="en-ID"/>
        </w:rPr>
        <w:t>3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021F734C" w14:textId="77777777" w:rsidR="00FA204C" w:rsidRDefault="006E7D44" w:rsidP="00FA204C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459202ED" w14:textId="77777777" w:rsidR="00FA204C" w:rsidRPr="00FA204C" w:rsidRDefault="00FA204C" w:rsidP="00FA204C">
            <w:pPr>
              <w:pStyle w:val="ListParagraph"/>
              <w:numPr>
                <w:ilvl w:val="0"/>
                <w:numId w:val="6"/>
              </w:numPr>
              <w:rPr>
                <w:b w:val="0"/>
                <w:u w:val="single"/>
                <w:lang w:val="en-ID"/>
              </w:rPr>
            </w:pPr>
            <w:proofErr w:type="spellStart"/>
            <w:r w:rsidRPr="00FA204C">
              <w:rPr>
                <w:b w:val="0"/>
                <w:lang w:val="en-ID"/>
              </w:rPr>
              <w:t>Tujuan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dari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prosedur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ini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adalah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untuk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menginstruksikan</w:t>
            </w:r>
            <w:proofErr w:type="spellEnd"/>
            <w:r w:rsidRPr="00FA204C">
              <w:rPr>
                <w:b w:val="0"/>
                <w:lang w:val="en-ID"/>
              </w:rPr>
              <w:t xml:space="preserve"> PT. XYZ </w:t>
            </w:r>
            <w:proofErr w:type="spellStart"/>
            <w:r w:rsidRPr="00FA204C">
              <w:rPr>
                <w:b w:val="0"/>
                <w:lang w:val="en-ID"/>
              </w:rPr>
              <w:t>tentang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cara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mengidentifikasi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operasi</w:t>
            </w:r>
            <w:proofErr w:type="spellEnd"/>
            <w:r w:rsidRPr="00FA204C">
              <w:rPr>
                <w:b w:val="0"/>
                <w:lang w:val="en-ID"/>
              </w:rPr>
              <w:t xml:space="preserve"> dan </w:t>
            </w:r>
            <w:proofErr w:type="spellStart"/>
            <w:r w:rsidRPr="00FA204C">
              <w:rPr>
                <w:b w:val="0"/>
                <w:lang w:val="en-ID"/>
              </w:rPr>
              <w:t>aktivitas</w:t>
            </w:r>
            <w:proofErr w:type="spellEnd"/>
            <w:r w:rsidRPr="00FA204C">
              <w:rPr>
                <w:b w:val="0"/>
                <w:lang w:val="en-ID"/>
              </w:rPr>
              <w:t xml:space="preserve"> yang </w:t>
            </w:r>
            <w:proofErr w:type="spellStart"/>
            <w:r w:rsidRPr="00FA204C">
              <w:rPr>
                <w:b w:val="0"/>
                <w:lang w:val="en-ID"/>
              </w:rPr>
              <w:t>terkait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dengan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risiko</w:t>
            </w:r>
            <w:proofErr w:type="spellEnd"/>
            <w:r w:rsidRPr="00FA204C">
              <w:rPr>
                <w:b w:val="0"/>
                <w:lang w:val="en-ID"/>
              </w:rPr>
              <w:t xml:space="preserve"> EHS yang </w:t>
            </w:r>
            <w:proofErr w:type="spellStart"/>
            <w:r w:rsidRPr="00FA204C">
              <w:rPr>
                <w:b w:val="0"/>
                <w:lang w:val="en-ID"/>
              </w:rPr>
              <w:t>signifikan</w:t>
            </w:r>
            <w:proofErr w:type="spellEnd"/>
            <w:r w:rsidRPr="00FA204C">
              <w:rPr>
                <w:b w:val="0"/>
                <w:lang w:val="en-ID"/>
              </w:rPr>
              <w:t xml:space="preserve"> yang </w:t>
            </w:r>
            <w:proofErr w:type="spellStart"/>
            <w:r w:rsidRPr="00FA204C">
              <w:rPr>
                <w:b w:val="0"/>
                <w:lang w:val="en-ID"/>
              </w:rPr>
              <w:t>terindentifikasi</w:t>
            </w:r>
            <w:proofErr w:type="spellEnd"/>
            <w:r w:rsidRPr="00FA204C">
              <w:rPr>
                <w:b w:val="0"/>
                <w:lang w:val="en-ID"/>
              </w:rPr>
              <w:t xml:space="preserve"> dan </w:t>
            </w:r>
            <w:proofErr w:type="spellStart"/>
            <w:r w:rsidRPr="00FA204C">
              <w:rPr>
                <w:b w:val="0"/>
                <w:lang w:val="en-ID"/>
              </w:rPr>
              <w:t>persyaratan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hukum</w:t>
            </w:r>
            <w:proofErr w:type="spellEnd"/>
            <w:r w:rsidRPr="00FA204C">
              <w:rPr>
                <w:b w:val="0"/>
                <w:lang w:val="en-ID"/>
              </w:rPr>
              <w:t xml:space="preserve"> yang </w:t>
            </w:r>
            <w:proofErr w:type="spellStart"/>
            <w:r w:rsidRPr="00FA204C">
              <w:rPr>
                <w:b w:val="0"/>
                <w:lang w:val="en-ID"/>
              </w:rPr>
              <w:t>relevan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sejalan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dengan</w:t>
            </w:r>
            <w:proofErr w:type="spellEnd"/>
            <w:r w:rsidRPr="00FA204C">
              <w:rPr>
                <w:b w:val="0"/>
                <w:lang w:val="en-ID"/>
              </w:rPr>
              <w:t xml:space="preserve"> </w:t>
            </w:r>
            <w:proofErr w:type="spellStart"/>
            <w:r w:rsidRPr="00FA204C">
              <w:rPr>
                <w:b w:val="0"/>
                <w:lang w:val="en-ID"/>
              </w:rPr>
              <w:t>kebijakan</w:t>
            </w:r>
            <w:proofErr w:type="spellEnd"/>
            <w:r w:rsidRPr="00FA204C">
              <w:rPr>
                <w:b w:val="0"/>
                <w:lang w:val="en-ID"/>
              </w:rPr>
              <w:t xml:space="preserve">, </w:t>
            </w:r>
            <w:proofErr w:type="spellStart"/>
            <w:r w:rsidRPr="00FA204C">
              <w:rPr>
                <w:b w:val="0"/>
                <w:lang w:val="en-ID"/>
              </w:rPr>
              <w:t>tujuan</w:t>
            </w:r>
            <w:proofErr w:type="spellEnd"/>
            <w:r w:rsidRPr="00FA204C">
              <w:rPr>
                <w:b w:val="0"/>
                <w:lang w:val="en-ID"/>
              </w:rPr>
              <w:t xml:space="preserve">, dan </w:t>
            </w:r>
            <w:proofErr w:type="spellStart"/>
            <w:r w:rsidRPr="00FA204C">
              <w:rPr>
                <w:b w:val="0"/>
                <w:lang w:val="en-ID"/>
              </w:rPr>
              <w:t>targetnya</w:t>
            </w:r>
            <w:proofErr w:type="spellEnd"/>
          </w:p>
          <w:p w14:paraId="6C2A7A4D" w14:textId="2F5B775D" w:rsidR="002B4CD7" w:rsidRPr="00FA204C" w:rsidRDefault="00FA204C" w:rsidP="00FA204C">
            <w:pPr>
              <w:pStyle w:val="ListParagraph"/>
              <w:numPr>
                <w:ilvl w:val="0"/>
                <w:numId w:val="6"/>
              </w:numPr>
              <w:rPr>
                <w:b w:val="0"/>
                <w:u w:val="single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tujuan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menetapkan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pengendalian</w:t>
            </w:r>
            <w:proofErr w:type="spellEnd"/>
            <w:r>
              <w:rPr>
                <w:b w:val="0"/>
                <w:lang w:val="en-ID"/>
              </w:rPr>
              <w:t xml:space="preserve">, </w:t>
            </w:r>
            <w:proofErr w:type="spellStart"/>
            <w:r>
              <w:rPr>
                <w:b w:val="0"/>
                <w:lang w:val="en-ID"/>
              </w:rPr>
              <w:t>operasional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prosedur</w:t>
            </w:r>
            <w:proofErr w:type="spellEnd"/>
            <w:r>
              <w:rPr>
                <w:b w:val="0"/>
                <w:lang w:val="en-ID"/>
              </w:rPr>
              <w:t xml:space="preserve">, </w:t>
            </w:r>
            <w:proofErr w:type="spellStart"/>
            <w:r>
              <w:rPr>
                <w:b w:val="0"/>
                <w:lang w:val="en-ID"/>
              </w:rPr>
              <w:t>kriteria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prosedur</w:t>
            </w:r>
            <w:proofErr w:type="spellEnd"/>
            <w:r>
              <w:rPr>
                <w:b w:val="0"/>
                <w:lang w:val="en-ID"/>
              </w:rPr>
              <w:t xml:space="preserve">, </w:t>
            </w:r>
            <w:proofErr w:type="spellStart"/>
            <w:r>
              <w:rPr>
                <w:b w:val="0"/>
                <w:lang w:val="en-ID"/>
              </w:rPr>
              <w:t>atau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instruksi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kerja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r w:rsidR="002B4CD7" w:rsidRPr="00FA204C">
              <w:rPr>
                <w:b w:val="0"/>
                <w:lang w:val="en-ID"/>
              </w:rPr>
              <w:t xml:space="preserve"> </w:t>
            </w:r>
          </w:p>
        </w:tc>
      </w:tr>
      <w:tr w:rsidR="006E7D44" w14:paraId="72D2B0F7" w14:textId="77777777" w:rsidTr="00C0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2D4EAE9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Ruang</w:t>
            </w:r>
            <w:proofErr w:type="spellEnd"/>
            <w:r w:rsidRPr="00084FBB">
              <w:rPr>
                <w:sz w:val="28"/>
                <w:u w:val="single"/>
                <w:lang w:val="en-ID"/>
              </w:rPr>
              <w:t xml:space="preserve"> </w:t>
            </w:r>
            <w:proofErr w:type="spellStart"/>
            <w:r w:rsidRPr="00084FBB">
              <w:rPr>
                <w:sz w:val="28"/>
                <w:u w:val="single"/>
                <w:lang w:val="en-ID"/>
              </w:rPr>
              <w:t>Lingkup</w:t>
            </w:r>
            <w:proofErr w:type="spellEnd"/>
          </w:p>
          <w:p w14:paraId="1D44C8A9" w14:textId="246A991C" w:rsidR="006E7D44" w:rsidRPr="00973908" w:rsidRDefault="00FA204C" w:rsidP="00C0320E">
            <w:pPr>
              <w:rPr>
                <w:b w:val="0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Prosedur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ini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berlaku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pengendalian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opersional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sistem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manajemen</w:t>
            </w:r>
            <w:proofErr w:type="spellEnd"/>
            <w:r>
              <w:rPr>
                <w:b w:val="0"/>
                <w:lang w:val="en-ID"/>
              </w:rPr>
              <w:t xml:space="preserve"> PT. XYZ </w:t>
            </w:r>
            <w:r w:rsidR="002B4CD7">
              <w:rPr>
                <w:b w:val="0"/>
                <w:lang w:val="en-ID"/>
              </w:rPr>
              <w:t xml:space="preserve"> 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423E05DA" w14:textId="14BF5DE8" w:rsidR="0038050B" w:rsidRDefault="0038050B" w:rsidP="006E7D44">
      <w:pPr>
        <w:jc w:val="center"/>
      </w:pPr>
    </w:p>
    <w:p w14:paraId="11D84C76" w14:textId="30AAE074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905DFD" w14:paraId="5828CE53" w14:textId="77777777" w:rsidTr="00BE3CD5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091192F4" w:rsidR="006E7D44" w:rsidRPr="00E91B8C" w:rsidRDefault="00E91B8C" w:rsidP="00905DFD">
            <w:pPr>
              <w:jc w:val="center"/>
              <w:rPr>
                <w:b/>
                <w:lang w:val="en-ID"/>
              </w:rPr>
            </w:pPr>
            <w:proofErr w:type="spellStart"/>
            <w:r w:rsidRPr="00E91B8C">
              <w:rPr>
                <w:b/>
                <w:lang w:val="en-ID"/>
              </w:rPr>
              <w:lastRenderedPageBreak/>
              <w:t>Prosedure</w:t>
            </w:r>
            <w:proofErr w:type="spellEnd"/>
            <w:r w:rsidRPr="00E91B8C">
              <w:rPr>
                <w:b/>
                <w:lang w:val="en-ID"/>
              </w:rPr>
              <w:t xml:space="preserve"> </w:t>
            </w:r>
            <w:proofErr w:type="spellStart"/>
            <w:r w:rsidRPr="00E91B8C">
              <w:rPr>
                <w:b/>
                <w:lang w:val="en-ID"/>
              </w:rPr>
              <w:t>Operasional</w:t>
            </w:r>
            <w:proofErr w:type="spellEnd"/>
            <w:r w:rsidRPr="00E91B8C">
              <w:rPr>
                <w:b/>
                <w:lang w:val="en-ID"/>
              </w:rPr>
              <w:t xml:space="preserve"> </w:t>
            </w:r>
            <w:proofErr w:type="spellStart"/>
            <w:r w:rsidRPr="00E91B8C">
              <w:rPr>
                <w:b/>
                <w:lang w:val="en-ID"/>
              </w:rPr>
              <w:t>Kontrol</w:t>
            </w:r>
            <w:proofErr w:type="spellEnd"/>
            <w:r w:rsidRPr="00E91B8C">
              <w:rPr>
                <w:b/>
                <w:lang w:val="en-ID"/>
              </w:rPr>
              <w:t xml:space="preserve"> EHS</w:t>
            </w:r>
          </w:p>
        </w:tc>
        <w:tc>
          <w:tcPr>
            <w:tcW w:w="2693" w:type="dxa"/>
            <w:gridSpan w:val="2"/>
            <w:vAlign w:val="center"/>
          </w:tcPr>
          <w:p w14:paraId="51417B6C" w14:textId="4FB91CAF" w:rsidR="006E7D44" w:rsidRPr="00905DFD" w:rsidRDefault="006E7D44" w:rsidP="00EF6C59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PR-EHS-</w:t>
            </w:r>
            <w:r w:rsidR="00837B4D">
              <w:rPr>
                <w:b/>
                <w:color w:val="000000" w:themeColor="text1"/>
                <w:lang w:val="en-ID"/>
              </w:rPr>
              <w:t>1</w:t>
            </w:r>
            <w:r w:rsidR="00E91B8C">
              <w:rPr>
                <w:b/>
                <w:color w:val="000000" w:themeColor="text1"/>
                <w:lang w:val="en-ID"/>
              </w:rPr>
              <w:t>3</w:t>
            </w:r>
          </w:p>
        </w:tc>
      </w:tr>
      <w:tr w:rsidR="00905DFD" w:rsidRPr="00905DFD" w14:paraId="50C9F1CF" w14:textId="77777777" w:rsidTr="00BE3CD5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6E7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6E7D44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4AF91ACD" w:rsidR="006E7D44" w:rsidRPr="00905DFD" w:rsidRDefault="0038050B" w:rsidP="006E7D44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837B4D">
              <w:rPr>
                <w:color w:val="000000" w:themeColor="text1"/>
                <w:lang w:val="en-ID"/>
              </w:rPr>
              <w:t>3</w:t>
            </w:r>
          </w:p>
        </w:tc>
      </w:tr>
      <w:tr w:rsidR="00905DFD" w:rsidRPr="00905DFD" w14:paraId="6E6DA746" w14:textId="77777777" w:rsidTr="00BE3CD5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BE3CD5" w:rsidRPr="00905DFD" w14:paraId="65F07CC7" w14:textId="77777777" w:rsidTr="00BE3CD5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A5DE3CB" w14:textId="42210B29" w:rsidR="00BE3CD5" w:rsidRPr="00837B4D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noProof/>
              </w:rPr>
              <w:drawing>
                <wp:inline distT="0" distB="0" distL="0" distR="0" wp14:anchorId="08B5EDA1" wp14:editId="3815121B">
                  <wp:extent cx="2204085" cy="4452151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4" t="4297" r="61199"/>
                          <a:stretch/>
                        </pic:blipFill>
                        <pic:spPr bwMode="auto">
                          <a:xfrm>
                            <a:off x="0" y="0"/>
                            <a:ext cx="2215968" cy="447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DC536E4" w14:textId="43CC135F" w:rsidR="00BE3CD5" w:rsidRPr="00BE3CD5" w:rsidRDefault="00BE3CD5" w:rsidP="00BE3CD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Identifikasi </w:t>
            </w:r>
            <w:r w:rsidRPr="00BE3CD5">
              <w:rPr>
                <w:rFonts w:cstheme="majorHAnsi"/>
                <w:b/>
                <w:bCs/>
                <w:color w:val="000000" w:themeColor="text1"/>
                <w:sz w:val="20"/>
                <w:szCs w:val="20"/>
                <w:lang w:val="en-ID"/>
              </w:rPr>
              <w:t>d</w:t>
            </w:r>
            <w:r w:rsidRPr="00BE3CD5">
              <w:rPr>
                <w:rFonts w:cstheme="majorHAnsi"/>
                <w:b/>
                <w:bCs/>
                <w:color w:val="000000" w:themeColor="text1"/>
                <w:sz w:val="20"/>
                <w:szCs w:val="20"/>
              </w:rPr>
              <w:t>an Daftar Pengendalian Operasi</w:t>
            </w:r>
          </w:p>
          <w:p w14:paraId="6EF8ABB9" w14:textId="5E2D4208" w:rsidR="00BE3CD5" w:rsidRPr="00BE3CD5" w:rsidRDefault="00BE3CD5" w:rsidP="00BE3CD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EHS MR dan semua Manajer harus mengidentifikasi dan membuat daftar bahaya EHS yang signifikan di lokasi &amp; pengendaliannya. Daftar ini harus dikompilasi dengan meninjau risiko EHS Signifikan di lokasi.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0447D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MR</w:t>
            </w:r>
          </w:p>
          <w:p w14:paraId="24F06823" w14:textId="77777777" w:rsidR="00BE3CD5" w:rsidRDefault="00BE3CD5" w:rsidP="00BE3CD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4E0D543" w14:textId="434ABAE3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294A9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3D8F07" w14:textId="77777777" w:rsid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FP-EHS-0101</w:t>
            </w:r>
          </w:p>
          <w:p w14:paraId="50624B53" w14:textId="1E447264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Formulir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Aspek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EHS dan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Bahaya</w:t>
            </w:r>
            <w:proofErr w:type="spellEnd"/>
          </w:p>
        </w:tc>
      </w:tr>
      <w:tr w:rsidR="00BE3CD5" w:rsidRPr="00905DFD" w14:paraId="205ED736" w14:textId="77777777" w:rsidTr="00BE3CD5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32CB667" w14:textId="77777777" w:rsidR="00BE3CD5" w:rsidRPr="00837B4D" w:rsidRDefault="00BE3CD5" w:rsidP="00BE3CD5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5016209" w14:textId="70989B8B" w:rsidR="00BE3CD5" w:rsidRPr="00BE3CD5" w:rsidRDefault="00BE3CD5" w:rsidP="00BE3CD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 xml:space="preserve">Identifikasi </w:t>
            </w:r>
            <w:r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s</w:t>
            </w: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 xml:space="preserve">esuai Peraturan </w:t>
            </w:r>
            <w:r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d</w:t>
            </w: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>an Persyaratan</w:t>
            </w:r>
          </w:p>
          <w:p w14:paraId="455E6FE0" w14:textId="16E624CD" w:rsidR="00BE3CD5" w:rsidRPr="00BE3CD5" w:rsidRDefault="00BE3CD5" w:rsidP="00BE3CD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EHS MR dan semua manajer harus mengidentifikasi dan membuat daftar persyaratan hukum yang relevan di lokasi. Daftar ini harus disusun dengan meninjau Persyaratan Hukum dan Lainnya situs.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BBC7D" w14:textId="77777777" w:rsidR="00BE3CD5" w:rsidRDefault="00BE3CD5" w:rsidP="00BE3CD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MR</w:t>
            </w: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14:paraId="52F6B1C6" w14:textId="6F4DFDBA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D37A8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4CE76D" w14:textId="77777777" w:rsid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FP-EHS-0101</w:t>
            </w:r>
          </w:p>
          <w:p w14:paraId="5D0EEB1E" w14:textId="7E56E755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Formulir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Aspek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EHS dan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Bahaya</w:t>
            </w:r>
            <w:proofErr w:type="spellEnd"/>
          </w:p>
        </w:tc>
      </w:tr>
      <w:tr w:rsidR="00BE3CD5" w:rsidRPr="00905DFD" w14:paraId="76942431" w14:textId="77777777" w:rsidTr="00BE3CD5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1036243" w14:textId="77777777" w:rsidR="00BE3CD5" w:rsidRPr="00837B4D" w:rsidRDefault="00BE3CD5" w:rsidP="00BE3CD5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239ED82" w14:textId="671AA371" w:rsidR="00BE3CD5" w:rsidRPr="00BE3CD5" w:rsidRDefault="00BE3CD5" w:rsidP="00BE3CD5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3CD5">
              <w:rPr>
                <w:rFonts w:ascii="Cambria" w:hAnsi="Cambria"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 xml:space="preserve">Identifikasi </w:t>
            </w:r>
            <w:r>
              <w:rPr>
                <w:rFonts w:ascii="Cambria" w:hAnsi="Cambria"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d</w:t>
            </w:r>
            <w:r w:rsidRPr="00BE3CD5">
              <w:rPr>
                <w:rFonts w:ascii="Cambria" w:hAnsi="Cambria"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>engan Departemen Terkait</w:t>
            </w:r>
          </w:p>
          <w:p w14:paraId="59DD9674" w14:textId="320CC80F" w:rsidR="00BE3CD5" w:rsidRPr="00BE3CD5" w:rsidRDefault="00BE3CD5" w:rsidP="00BE3CD5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color w:val="000000" w:themeColor="text1"/>
                <w:lang w:val="en-ID"/>
              </w:rPr>
            </w:pPr>
            <w:r w:rsidRPr="00BE3CD5">
              <w:rPr>
                <w:rFonts w:ascii="Cambria" w:hAnsi="Cambria" w:cstheme="majorHAnsi"/>
                <w:color w:val="000000" w:themeColor="text1"/>
                <w:sz w:val="20"/>
                <w:szCs w:val="20"/>
              </w:rPr>
              <w:t>EHS MR harus mengidentifikasi entitas yang bertanggung jawab atas pengoperasian aktivitas atau proses yang melibatkan risiko EHS yang signifikan dan persyaratan hukum yang relevan yang tercantum dalam Formulir FP-EHS-0101 Daftar Aspek, Bahaya, Risiko &amp; Peluang QHSE dan menetapkannya tugas menetapkan prosedur, kriteria operasi, atau instruksi kerja untuk memfasilitasi pengendalian operasional EHS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2E3D5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MR</w:t>
            </w:r>
          </w:p>
          <w:p w14:paraId="35BD3A09" w14:textId="77777777" w:rsidR="00BE3CD5" w:rsidRDefault="00BE3CD5" w:rsidP="00BE3CD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89B64D5" w14:textId="35D7E01B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DH</w:t>
            </w:r>
          </w:p>
          <w:p w14:paraId="24E1D27C" w14:textId="24E521F3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B6F0EA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D454196" w14:textId="77777777" w:rsid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FP-EHS-0101</w:t>
            </w:r>
          </w:p>
          <w:p w14:paraId="06549992" w14:textId="04F1E5A5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Formulir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Aspek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EHS dan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Bahaya</w:t>
            </w:r>
            <w:proofErr w:type="spellEnd"/>
          </w:p>
        </w:tc>
      </w:tr>
      <w:tr w:rsidR="00BE3CD5" w:rsidRPr="00905DFD" w14:paraId="2D924F92" w14:textId="77777777" w:rsidTr="00BE3CD5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797D0992" w14:textId="77777777" w:rsidR="00BE3CD5" w:rsidRPr="00837B4D" w:rsidRDefault="00BE3CD5" w:rsidP="00BE3CD5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AD69465" w14:textId="77777777" w:rsidR="00BE3CD5" w:rsidRPr="00BE3CD5" w:rsidRDefault="00BE3CD5" w:rsidP="00BE3CD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>Implementasi</w:t>
            </w:r>
          </w:p>
          <w:p w14:paraId="5B68A83F" w14:textId="77777777" w:rsidR="00BE3CD5" w:rsidRPr="00BE3CD5" w:rsidRDefault="00BE3CD5" w:rsidP="00BE3CD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>kriteria</w:t>
            </w:r>
            <w:proofErr w:type="spellEnd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>operasi</w:t>
            </w:r>
            <w:proofErr w:type="spellEnd"/>
            <w:r w:rsidRPr="00BE3CD5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>,</w:t>
            </w:r>
            <w:r w:rsidRPr="00BE3CD5">
              <w:rPr>
                <w:rFonts w:cstheme="majorHAnsi"/>
                <w:b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atau instruksi kerja yang ditetapkan untuk risiko EHS yang signifikan harus:</w:t>
            </w:r>
          </w:p>
          <w:p w14:paraId="6A236E6D" w14:textId="77777777" w:rsidR="00BE3CD5" w:rsidRPr="00BE3CD5" w:rsidRDefault="00BE3CD5" w:rsidP="00BE3CD5">
            <w:pPr>
              <w:pStyle w:val="ListParagraph"/>
              <w:numPr>
                <w:ilvl w:val="0"/>
                <w:numId w:val="7"/>
              </w:numPr>
              <w:rPr>
                <w:rFonts w:cstheme="majorHAnsi"/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Mencakup situasi di mana ketidakhadiran mereka dapat menyebabkan penyimpangan dari kebijakan lokasi serta tujuan dan sasarannya</w:t>
            </w:r>
          </w:p>
          <w:p w14:paraId="298471B7" w14:textId="77777777" w:rsidR="00BE3CD5" w:rsidRPr="00BE3CD5" w:rsidRDefault="00BE3CD5" w:rsidP="00BE3CD5">
            <w:pPr>
              <w:pStyle w:val="ListParagraph"/>
              <w:numPr>
                <w:ilvl w:val="0"/>
                <w:numId w:val="7"/>
              </w:numPr>
              <w:rPr>
                <w:rFonts w:cstheme="majorHAnsi"/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Sertakan kegiatan pemeliharaan yang sesuai</w:t>
            </w:r>
          </w:p>
          <w:p w14:paraId="4CE51AC7" w14:textId="3BFE22C9" w:rsidR="00BE3CD5" w:rsidRPr="00BE3CD5" w:rsidRDefault="00BE3CD5" w:rsidP="00BE3CD5">
            <w:pPr>
              <w:pStyle w:val="ListParagraph"/>
              <w:numPr>
                <w:ilvl w:val="0"/>
                <w:numId w:val="7"/>
              </w:numPr>
              <w:rPr>
                <w:rFonts w:cstheme="majorHAnsi"/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Bila perlu, komunikasikan prosedur dan persyaratan yang relevan kepada pemasok dan kontraktor.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11E23" w14:textId="7B568055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DD006" w14:textId="09B80B94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</w:tbl>
    <w:p w14:paraId="627CF035" w14:textId="1A959708" w:rsidR="006E7D44" w:rsidRDefault="006E7D44" w:rsidP="006E7D44">
      <w:pPr>
        <w:jc w:val="center"/>
      </w:pPr>
    </w:p>
    <w:p w14:paraId="0740155B" w14:textId="77777777" w:rsidR="0040221A" w:rsidRDefault="0040221A" w:rsidP="006E7D44">
      <w:pPr>
        <w:jc w:val="center"/>
        <w:sectPr w:rsidR="0040221A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40221A" w:rsidRPr="00905DFD" w14:paraId="0833B56E" w14:textId="77777777" w:rsidTr="00BE3CD5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3496C14" w14:textId="495BB649" w:rsidR="0040221A" w:rsidRPr="00837B4D" w:rsidRDefault="0046642A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E91B8C">
              <w:rPr>
                <w:b/>
                <w:lang w:val="en-ID"/>
              </w:rPr>
              <w:t>Prosedure</w:t>
            </w:r>
            <w:proofErr w:type="spellEnd"/>
            <w:r w:rsidRPr="00E91B8C">
              <w:rPr>
                <w:b/>
                <w:lang w:val="en-ID"/>
              </w:rPr>
              <w:t xml:space="preserve"> </w:t>
            </w:r>
            <w:proofErr w:type="spellStart"/>
            <w:r w:rsidRPr="00E91B8C">
              <w:rPr>
                <w:b/>
                <w:lang w:val="en-ID"/>
              </w:rPr>
              <w:t>Operasional</w:t>
            </w:r>
            <w:proofErr w:type="spellEnd"/>
            <w:r w:rsidRPr="00E91B8C">
              <w:rPr>
                <w:b/>
                <w:lang w:val="en-ID"/>
              </w:rPr>
              <w:t xml:space="preserve"> </w:t>
            </w:r>
            <w:proofErr w:type="spellStart"/>
            <w:r w:rsidRPr="00E91B8C">
              <w:rPr>
                <w:b/>
                <w:lang w:val="en-ID"/>
              </w:rPr>
              <w:t>Kontrol</w:t>
            </w:r>
            <w:proofErr w:type="spellEnd"/>
            <w:r w:rsidRPr="00E91B8C">
              <w:rPr>
                <w:b/>
                <w:lang w:val="en-ID"/>
              </w:rPr>
              <w:t xml:space="preserve"> EHS</w:t>
            </w:r>
          </w:p>
        </w:tc>
        <w:tc>
          <w:tcPr>
            <w:tcW w:w="2693" w:type="dxa"/>
            <w:gridSpan w:val="2"/>
            <w:vAlign w:val="center"/>
          </w:tcPr>
          <w:p w14:paraId="12C41A5A" w14:textId="115D5724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PR-EHS-</w:t>
            </w:r>
            <w:r>
              <w:rPr>
                <w:b/>
                <w:color w:val="000000" w:themeColor="text1"/>
                <w:lang w:val="en-ID"/>
              </w:rPr>
              <w:t>1</w:t>
            </w:r>
            <w:r w:rsidR="0046642A">
              <w:rPr>
                <w:b/>
                <w:color w:val="000000" w:themeColor="text1"/>
                <w:lang w:val="en-ID"/>
              </w:rPr>
              <w:t>3</w:t>
            </w:r>
          </w:p>
        </w:tc>
      </w:tr>
      <w:tr w:rsidR="0040221A" w:rsidRPr="00905DFD" w14:paraId="3BB39E87" w14:textId="77777777" w:rsidTr="00BE3CD5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C4026B" w14:textId="77777777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9DAB51" w14:textId="77777777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5FC24A92" w14:textId="32F2CB84" w:rsidR="0040221A" w:rsidRPr="00905DFD" w:rsidRDefault="0040221A" w:rsidP="002C2970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 w:rsidR="00302AE4"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3</w:t>
            </w:r>
            <w:bookmarkStart w:id="0" w:name="_GoBack"/>
            <w:bookmarkEnd w:id="0"/>
          </w:p>
        </w:tc>
      </w:tr>
      <w:tr w:rsidR="0040221A" w:rsidRPr="00905DFD" w14:paraId="72D79749" w14:textId="77777777" w:rsidTr="00BE3CD5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74D57290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3B98F021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540F887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588B4B60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BE3CD5" w:rsidRPr="00905DFD" w14:paraId="116F8074" w14:textId="77777777" w:rsidTr="00BE3CD5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5F638BB2" w14:textId="0C823EE3" w:rsidR="00BE3CD5" w:rsidRPr="00302AE4" w:rsidRDefault="00BE3CD5" w:rsidP="00BE3CD5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BE3CD5">
              <w:rPr>
                <w:noProof/>
              </w:rPr>
              <w:drawing>
                <wp:inline distT="0" distB="0" distL="0" distR="0" wp14:anchorId="7BB34761" wp14:editId="27C647EE">
                  <wp:extent cx="1371600" cy="2647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01" r="66490" b="15019"/>
                          <a:stretch/>
                        </pic:blipFill>
                        <pic:spPr bwMode="auto">
                          <a:xfrm>
                            <a:off x="0" y="0"/>
                            <a:ext cx="13716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A5ABE30" w14:textId="77777777" w:rsidR="00BE3CD5" w:rsidRPr="00BE3CD5" w:rsidRDefault="00BE3CD5" w:rsidP="00BE3CD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>Rekaman</w:t>
            </w:r>
          </w:p>
          <w:p w14:paraId="08F311CC" w14:textId="7C45FACF" w:rsidR="00BE3CD5" w:rsidRPr="00BE3CD5" w:rsidRDefault="00BE3CD5" w:rsidP="00BE3CD5">
            <w:pPr>
              <w:rPr>
                <w:rFonts w:cstheme="majorHAnsi"/>
                <w:color w:val="000000" w:themeColor="text1"/>
                <w:sz w:val="20"/>
                <w:lang w:val="en-ID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Identifikasi dan daftarkan dalam Formulir nama dokumen yang sesuai dan nomor kendali untuk setiap prosedur, kriteria operasi atau instruksi kerja.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E6253" w14:textId="6E1B0AE0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EHS Coordinator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A3C3E" w14:textId="77777777" w:rsidR="00BE3CD5" w:rsidRP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B5FFBA" w14:textId="77777777" w:rsidR="00BE3CD5" w:rsidRDefault="00BE3CD5" w:rsidP="00BE3CD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FP-EHS-0101</w:t>
            </w:r>
          </w:p>
          <w:p w14:paraId="0D0EF23B" w14:textId="2F2036F2" w:rsidR="00BE3CD5" w:rsidRPr="00BE3CD5" w:rsidRDefault="00BE3CD5" w:rsidP="00BE3CD5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Formulir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Aspek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EHS dan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Bahaya</w:t>
            </w:r>
            <w:proofErr w:type="spellEnd"/>
          </w:p>
        </w:tc>
      </w:tr>
      <w:tr w:rsidR="00BE3CD5" w:rsidRPr="00905DFD" w14:paraId="38B2309C" w14:textId="77777777" w:rsidTr="00BE3CD5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7691D610" w14:textId="77777777" w:rsidR="00BE3CD5" w:rsidRPr="00302AE4" w:rsidRDefault="00BE3CD5" w:rsidP="00BE3CD5">
            <w:pPr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ACC49E3" w14:textId="77777777" w:rsidR="00BE3CD5" w:rsidRPr="00BE3CD5" w:rsidRDefault="00BE3CD5" w:rsidP="00BE3CD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3CD5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</w:rPr>
              <w:t>Evaluasi</w:t>
            </w:r>
          </w:p>
          <w:p w14:paraId="53CE14E1" w14:textId="3FE43A95" w:rsidR="00BE3CD5" w:rsidRPr="00BE3CD5" w:rsidRDefault="00BE3CD5" w:rsidP="00BE3CD5">
            <w:pPr>
              <w:rPr>
                <w:rFonts w:cstheme="majorHAnsi"/>
                <w:color w:val="000000" w:themeColor="text1"/>
                <w:sz w:val="20"/>
                <w:lang w:val="en-ID"/>
              </w:rPr>
            </w:pPr>
            <w:r w:rsidRPr="00BE3CD5">
              <w:rPr>
                <w:rFonts w:cstheme="majorHAnsi"/>
                <w:color w:val="000000" w:themeColor="text1"/>
                <w:sz w:val="20"/>
                <w:szCs w:val="20"/>
              </w:rPr>
              <w:t>Informasi ini harus ditinjau setidaknya setiap tahun atau pada peristiwa seperti perubahan daftar risiko EHS yang signifikan atau persyaratan hukum yang relevan.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3D953" w14:textId="7BE9A681" w:rsidR="00BE3CD5" w:rsidRPr="00BE3CD5" w:rsidRDefault="00BE3CD5" w:rsidP="00BE3CD5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519F9" w14:textId="1988909D" w:rsidR="00BE3CD5" w:rsidRPr="00BE3CD5" w:rsidRDefault="00BE3CD5" w:rsidP="00BE3CD5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BE3CD5">
              <w:rPr>
                <w:rFonts w:cstheme="minorHAnsi"/>
                <w:b/>
                <w:color w:val="000000" w:themeColor="text1"/>
                <w:sz w:val="20"/>
                <w:szCs w:val="20"/>
              </w:rPr>
              <w:t>PR-IMS-11</w:t>
            </w:r>
            <w:r w:rsidRPr="00BE3CD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Review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Manajemen</w:t>
            </w:r>
            <w:proofErr w:type="spellEnd"/>
          </w:p>
        </w:tc>
      </w:tr>
    </w:tbl>
    <w:p w14:paraId="77CFD190" w14:textId="7AA78256" w:rsidR="0040221A" w:rsidRPr="006E7D44" w:rsidRDefault="0040221A" w:rsidP="006E7D44">
      <w:pPr>
        <w:jc w:val="center"/>
      </w:pPr>
    </w:p>
    <w:sectPr w:rsidR="0040221A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C4104"/>
    <w:rsid w:val="00193135"/>
    <w:rsid w:val="002043B4"/>
    <w:rsid w:val="002B4CD7"/>
    <w:rsid w:val="002B57D7"/>
    <w:rsid w:val="00302AE4"/>
    <w:rsid w:val="0038050B"/>
    <w:rsid w:val="0040221A"/>
    <w:rsid w:val="0046642A"/>
    <w:rsid w:val="005626D4"/>
    <w:rsid w:val="006E4837"/>
    <w:rsid w:val="006E7D44"/>
    <w:rsid w:val="00706469"/>
    <w:rsid w:val="007839C1"/>
    <w:rsid w:val="007B0D97"/>
    <w:rsid w:val="00837B4D"/>
    <w:rsid w:val="008C7A6E"/>
    <w:rsid w:val="00905DFD"/>
    <w:rsid w:val="00925F09"/>
    <w:rsid w:val="009E7FD9"/>
    <w:rsid w:val="00A649E5"/>
    <w:rsid w:val="00A73933"/>
    <w:rsid w:val="00AB7CDA"/>
    <w:rsid w:val="00BE3CD5"/>
    <w:rsid w:val="00C65B36"/>
    <w:rsid w:val="00D817DA"/>
    <w:rsid w:val="00DA7026"/>
    <w:rsid w:val="00E91B8C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2022-08-12T19:05:00Z</dcterms:created>
  <dcterms:modified xsi:type="dcterms:W3CDTF">2022-08-12T19:48:00Z</dcterms:modified>
</cp:coreProperties>
</file>